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05:43 МСК · База обновлена: 25.07.2026, 05:11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69 лет обратился к онкологу для консультации.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осиплость голоса, периодически сухой кашель.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последних 3 лет отмечает периодический сухой кашель, около 3 недель назад появилась осиплость голоса. Обратился к оториноларингологу по месту жительства, в течение 2 недель проводилась противовоспалительная терапия без эффекта. При непрямой ларингоскопии заподозрен рак гортани. Направлен к онкологу для обследования и определения тактики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-  Сопутствующая патология: Артериальная гипертензия 2 ст.</w:t>
      </w:r>
    </w:p>
    <w:p>
      <w:pPr>
        <w:spacing w:after="58"/>
      </w:pPr>
      <w:r>
        <w:rPr>
          <w:b w:val="0"/>
          <w:i w:val="0"/>
        </w:rPr>
        <w:t>-  Перенесенные операции: нет.</w:t>
      </w:r>
    </w:p>
    <w:p>
      <w:pPr>
        <w:spacing w:after="58"/>
      </w:pPr>
      <w:r>
        <w:rPr>
          <w:b w:val="0"/>
          <w:i w:val="0"/>
        </w:rPr>
        <w:t>-  Перенесенные травмы: не отмечает.</w:t>
      </w:r>
    </w:p>
    <w:p>
      <w:pPr>
        <w:spacing w:after="58"/>
      </w:pPr>
      <w:r>
        <w:rPr>
          <w:b w:val="0"/>
          <w:i w:val="0"/>
        </w:rPr>
        <w:t>-  Наследственность не отягощена.</w:t>
      </w:r>
    </w:p>
    <w:p>
      <w:pPr>
        <w:spacing w:after="58"/>
      </w:pPr>
      <w:r>
        <w:rPr>
          <w:b w:val="0"/>
          <w:i w:val="0"/>
        </w:rPr>
        <w:t>-  Аллергии на лекарственные препараты, пищевые продукты, аэрозоли отрицает.</w:t>
      </w:r>
    </w:p>
    <w:p>
      <w:pPr>
        <w:spacing w:after="58"/>
      </w:pPr>
      <w:r>
        <w:rPr>
          <w:b w:val="0"/>
          <w:i w:val="0"/>
        </w:rPr>
        <w:t>-  Профессиональные вредности не отмечены.</w:t>
      </w:r>
    </w:p>
    <w:p>
      <w:pPr>
        <w:spacing w:after="58"/>
      </w:pPr>
      <w:r>
        <w:rPr>
          <w:b w:val="0"/>
          <w:i w:val="0"/>
        </w:rPr>
        <w:t>-  Курит с возраста 18лет по 1 пачке сигарет в день. Алкоголем не злоупотребляет. Наркотики не употребляет.</w:t>
      </w:r>
    </w:p>
    <w:p>
      <w:pPr>
        <w:spacing w:after="58"/>
      </w:pPr>
      <w:r>
        <w:rPr>
          <w:b w:val="0"/>
          <w:i w:val="0"/>
        </w:rPr>
        <w:t>-  Психических отклонений нет.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72 кг, рост 175 см. ИМТ 23,5. Температура тела 36,60С. Кожа и видимые слизистые чистые, нормальной окраски. Периферические лимфоузлы в подмышечных, паховых областях не увеличены, симметричные, подвижные, мягкоэластической консистенции, безболезненные. На шее справа в области средней трети пальпируется лимфоузел размером 1,0х1,5см, плотноэластической консистенции, с четкими контурами, смещаемый, безболезненный при пальпации, кожа над ним не изменена. Дыхание через нос свободное. Тип дыхания грудной, дыхательные движения ритмичные, средней глубины, обе половины грудной клетки одинаково участвуют в акте дыхания. ЧДД 18 в мин. Дыхание везикулярное, хрипов нет. Тоны сердца ясные, ритм правильный, ЧСС 68 уд в мин, АД 130/80 мм рт. ст. Щитовидная железа не увеличена. Живот правильной формы, при пальпации мягкий, безболезненный. Печень не увеличена. Мочеиспускание свободное, безболезненное. Стул регулярный, оформленный, без патологических примесей.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методом инструментального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фиброларингоскопия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(УЗИ) периферических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(УЗИ) органов брюшной полости и забрюшинного пространства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фиброларингоскопия с биопсией</w:t>
      </w:r>
    </w:p>
    <w:p>
      <w:pPr>
        <w:ind w:left="504"/>
      </w:pPr>
      <w:r>
        <w:rPr>
          <w:b w:val="0"/>
          <w:i/>
        </w:rPr>
        <w:t>Всем пациентам раком гортани рекомендуется проведение фиброскопического эндоскопического исследования верхних дыхательных и пищеварительных путей с взятием биопсии и мазков отпечатков с поверхности эрозий, изъязвлений, пунктатов уплотнений без признаков изъязвлений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подозрении на метастазы в лимфоузлы шеи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тонкоигольную аспирационную биопсию (ТАБ) шейного лимфоузла под контролем  ультразвукового исследования (УЗИ)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(УЗИ) шейных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(УЗИ)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магнитно-резонансную томографию (МРТ) головного мозга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рентген-томографию гортани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позитронно-эмиссионную томографию — компьютерную томографию (ПЭТ-КТ) всего тела с фтордезоксиглюкозой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тонкоигольную аспирационную биопсию (ТАБ) шейного лимфоузла под контролем  ультразвукового исследования (УЗИ); 2 — ультразвуковое исследование (УЗИ) шейных лимфоузлов</w:t>
      </w:r>
    </w:p>
    <w:p>
      <w:pPr>
        <w:ind w:left="504"/>
      </w:pPr>
      <w:r>
        <w:rPr>
          <w:b w:val="0"/>
          <w:i/>
        </w:rPr>
        <w:t>Рекомендуется выполнить тонкоигольную аспирационную биопсию (ТАБ) под контролем УЗИ при подозрении на метастазы ЛУ шеи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выполнить тонкоигольную аспирационную биопсию (ТАБ) под контролем УЗИ при подозрении на метастазы ЛУ шеи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данным обследования, у пациента поражение _____ отдела гортани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надскладочного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надгортанного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складочного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подскладочного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надскладочного</w:t>
      </w:r>
    </w:p>
    <w:p>
      <w:pPr>
        <w:ind w:left="504"/>
      </w:pPr>
      <w:r>
        <w:rPr>
          <w:b w:val="0"/>
          <w:i/>
        </w:rPr>
        <w:t>По данным исследований у пациента имеется поражение вестибулярных складок и боковых желудочков надскладочного (вестибулярного) отдела гортани без вовлечения голосовых складок и нарушения их подвижности.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данным обследования, у пациента рак надскладочного отдела гортани стадии по TNM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T2N1M0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T1N2M0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T2N2M0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T3N2M0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T2N1M0</w:t>
      </w:r>
    </w:p>
    <w:p>
      <w:pPr>
        <w:ind w:left="504"/>
      </w:pPr>
      <w:r>
        <w:rPr>
          <w:b w:val="0"/>
          <w:i/>
        </w:rPr>
        <w:t>Т2 - опухоль поражает слизистую оболочку нескольких анатомических частей надсвязочной или связочной областей, или область вне надсвязочной части (слизистую оболочку корня языка, язычно-надгортанное углубление, медиальную стенку грушевидного синуса) без фиксации гортани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N1- метастазы в одном лимфатическом узле на стороне поражения до 3 см в наибольшем измерении</w:t>
        <w:br/>
        <w:br/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Установленный диагноз соответствует +___+ стадии рака гортани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{nbsp}IVA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{nbsp}IVB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{nbsp}II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{nbsp}III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{nbsp}III</w:t>
      </w:r>
    </w:p>
    <w:p>
      <w:pPr>
        <w:ind w:left="504"/>
      </w:pPr>
      <w:r>
        <w:rPr>
          <w:b w:val="0"/>
          <w:i/>
        </w:rPr>
        <w:t>Стадия по TNM T2N1M0 соответствует III стадии рака гортани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пациента рак надскладочного отдела гортани III стадии, от хирургического лечения пациент категорически отказался. В данной клинической ситуации возможно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внутритканевой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индукционной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химиоэмболизации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лазерной абляции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индукционной химиотерапии</w:t>
      </w:r>
    </w:p>
    <w:p>
      <w:pPr>
        <w:ind w:left="504"/>
      </w:pPr>
      <w:r>
        <w:rPr>
          <w:b w:val="0"/>
          <w:i/>
        </w:rPr>
        <w:t>Рекомендована конкурентная ХЛТ или ЛТ (если пациент не подходит для конкурентной химиолучевой терапии) или хирургическое лечение в объеме надскладочной резекции гортани и одно/двусторонней шейной лимфодиссекцией (при N{plus}) или индукционная ХТ с последующей оценкой эффекта.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3 курсов индукционной химиотерапии по данным фиброларингоскопии отмечена положительная динамика в виде резорбции опухоли на 60%. Следующим этапом рекомендована (-но)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конкурентная химиолучевая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лазерная абляции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химиоэмболизация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внутритканевая лучевая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конкурентная химиолучевая терапия</w:t>
      </w:r>
    </w:p>
    <w:p>
      <w:pPr>
        <w:ind w:left="504"/>
      </w:pPr>
      <w:r>
        <w:rPr>
          <w:b w:val="0"/>
          <w:i/>
        </w:rPr>
        <w:t>Рекомендована конкурентная ХЛТ или ЛТ (если пациент не подходит для конкурентной химиолучевой терапии)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проведении одновременной (конкурентной) химиолучевой терапии наиболее предпочтительно применение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темозоломид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паклитаксел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тамоксифен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цисплатин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цисплатин</w:t>
      </w:r>
    </w:p>
    <w:p>
      <w:pPr>
        <w:ind w:left="504"/>
      </w:pPr>
      <w:r>
        <w:rPr>
          <w:b w:val="0"/>
          <w:i/>
        </w:rPr>
        <w:t>Одновременная (конкурентная) химиолучевая терапия: цисплатин (предпочтительно) или карбоплатин или цетуксимаб+ЛТ.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СОД на первичный очаг и клинически определяемые регионарные метастазы должна составлять +__+ Гр при стандартном фракционировании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70</w:t>
      </w:r>
    </w:p>
    <w:p>
      <w:pPr>
        <w:ind w:left="504"/>
      </w:pPr>
      <w:r>
        <w:rPr>
          <w:b w:val="0"/>
          <w:i/>
        </w:rPr>
        <w:t>Пациентам при раке гортани ЛТ в самостоятельном варианте на первичный очаг и клинически определяемые регионарные метастазы рекомендована в дозе 66–70 Гр (2,0– 2,2 Гр/фракция) ежедневно с понедельника по пятницу в течение 6–7 нед; на локорегионарную область, включая регионарные ЛУ – 44-63 Гр (1,8-2,0 Гр/фракция) с целью повышения показателей выживаемости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СОД на клинически неизмененные лимфоузлы должна составлять +__+ Гр при стандартном фракционировании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44-63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44-63</w:t>
      </w:r>
    </w:p>
    <w:p>
      <w:pPr>
        <w:ind w:left="504"/>
      </w:pPr>
      <w:r>
        <w:rPr>
          <w:b w:val="0"/>
          <w:i/>
        </w:rPr>
        <w:t>Пациентам при раке гортани ЛТ в самостоятельном варианте на первичный очаг и клинически определяемые регионарные метастазы рекомендована в дозе 66–70 Гр (2,0– 2,2 Гр/фракция) ежедневно с понедельника по пятницу в течение 6–7 нед; на локорегионарную область, включая регионарные ЛУ – 44-63 Гр (1,8-2,0 Гр/фракция) с целью повышения показателей выживаемости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наличии остаточной опухоли и/или метастатических лимфоузлов после окончания конкурентного химиолучевого лечения рекомендовано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продолжение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поддерживающей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хирургическое лечение</w:t>
      </w:r>
    </w:p>
    <w:p>
      <w:pPr>
        <w:ind w:left="504"/>
      </w:pPr>
      <w:r>
        <w:rPr>
          <w:b w:val="0"/>
          <w:i/>
        </w:rPr>
        <w:t>При наличии остаточной опухоли и/или метастатических ЛУ после окончания конкурентной ХЛТ рекомендовано хирургическое вмешательство. В случае полной регрессии метастатических узлов после окончания ХЛТ показано динамическое наблюдение.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гортани,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Максимально допустимая доза (d max) на спинной мозг при планировании программы лучевой терапии рака гортани должна быть меньше или равна +__+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50</w:t>
      </w:r>
    </w:p>
    <w:p>
      <w:pPr>
        <w:ind w:left="504"/>
      </w:pPr>
      <w:r>
        <w:rPr>
          <w:b w:val="0"/>
          <w:i/>
        </w:rPr>
        <w:t>«Стандарты лучевой терапии» под редакцией А.Д. Каприна, А.А. Костина, Е.В. Хмелевского. - М.: ГЭОТАР-Медиа, 2019, стр. 82.</w:t>
        <w:br/>
        <w:br/>
      </w:r>
      <w:hyperlink r:id="rId34">
        <w:r>
          <w:rPr>
            <w:color w:val="173C49"/>
            <w:u w:val="single"/>
          </w:rPr>
          <w:t>https://www.labirint.ru/books/688754/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40 лет обратился к врачу-онкологу.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затруднение прохождения твердой пищи по пищеводу, боль при глотании,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отмечает, что вышеперечисленные жалобы появились около 3 месяцев назад и за это время затруднение прохождения пищи несколько усилилось.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курение – по 10 сигарет в сутки на протяжении 15 лет</w:t>
      </w:r>
    </w:p>
    <w:p>
      <w:pPr>
        <w:spacing w:after="58"/>
      </w:pPr>
      <w:r>
        <w:rPr>
          <w:b w:val="0"/>
          <w:i w:val="0"/>
        </w:rPr>
        <w:t>* В анамнезе у пациента прием алкоголя – по 40 граммов в сутки (в пересчете на чистый спирт)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Сознание ясное. Поведение адекватное. Вес 91 кг, рост 178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 Лимфатические узлы не пальпируются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 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Грудные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130/80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информативным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эндоскопическое исследование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периферической крови на РЭА, СА 19.9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эндоскопическое исследование с биопсией</w:t>
      </w:r>
    </w:p>
    <w:p>
      <w:pPr>
        <w:ind w:left="504"/>
      </w:pPr>
      <w:r>
        <w:rPr>
          <w:b w:val="0"/>
          <w:i/>
        </w:rPr>
        <w:t>Рекомендуется выполнить эзофагогастродуаденоскопию с биопсией — это наиболее информативный метод исследования при раке пищевода, позволяющий непосредственно визуализировать опухоль, определить её размеры, локализацию и макроскопический тип, оценить угрозу осложнений (кровотечение, перфорация), а также получить материал для морфологического исследования.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(с.10).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основным диагностическим методам стадирования рака пищевода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головного мозга в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ПЭТ/КТ с 18F-ФДГ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органов грудной клетки и брюшной полости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7" descr="Правильный ответ: вариант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7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эндосонография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ПЭТ/КТ с 18F-ФДГ; 4 — фибробронхоскопия; 5 — компьютерная томография органов грудной клетки и брюшной полости с внутривенным контрастированием; 7 — эндосонография</w:t>
      </w:r>
    </w:p>
    <w:p>
      <w:pPr>
        <w:ind w:left="504"/>
      </w:pPr>
      <w:r>
        <w:rPr>
          <w:b w:val="0"/>
          <w:i/>
        </w:rPr>
        <w:t>Рекомендуется выполнить ПЭТ-КТ при подозрении на метастазы по данным КТ.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(с.12).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ind w:left="504"/>
      </w:pPr>
      <w:r>
        <w:rPr>
          <w:b w:val="0"/>
          <w:i/>
        </w:rPr>
        <w:t>Рекомендуется выполнить фибробронхоскопию для исключения инвазии в трахею и главные бронхи при опухолях пищевода, расположенных на уровне или выше её бифуркации, а также при выявлении метастатически пораженных узлов области бифуркации трахеи и паратрахеальной зоны.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(с.12).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ind w:left="504"/>
      </w:pPr>
      <w:r>
        <w:rPr>
          <w:b w:val="0"/>
          <w:i/>
        </w:rPr>
        <w:t>Рекомендуется выполнить КТ органов грудной клетки и брюшной полости с внутривенным контрастированием для оценки состояния регионарных лимфоузлов и исключения отдалённых метастазов.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(с.11).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ind w:left="504"/>
      </w:pPr>
      <w:r>
        <w:rPr>
          <w:b w:val="0"/>
          <w:i/>
        </w:rPr>
        <w:t>Рекомендуется выполнить эндосонографию (Эндо-УЗИ), так как метод является наиболее информативным в оценке глубины инвазии опухоли в стенку пищевода (символ Т), а также позволяет с высокой точностью (чувствительность 0,8 и специфичность 0,7) оценить состояние регионарных лимфоколлекторов. Для более точного предоперационного стадирования и определения тактики лечения возможно выполнение пункционной биопсии медиастинальных лимфатических узлов.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(с.10).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 +___________________________+ среднегрудного отдела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Карциносаркома ; сT1N1M0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Аденома ; с дисплазией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Плоскоклеточный рак;  сT3N2M0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Аденокарцинома ; сT2N1M0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Плоскоклеточный рак;  сT3N2M0</w:t>
      </w:r>
    </w:p>
    <w:p>
      <w:pPr>
        <w:ind w:left="504"/>
      </w:pPr>
      <w:r>
        <w:rPr>
          <w:b w:val="0"/>
          <w:i/>
        </w:rPr>
        <w:t>По данным эндоУЗИ и СКТ с контрастированием вовлечены все слои стенки пищевода; при фибробронхоскопии исключено вовлечение стенки трахеи и бронха (Т3). По данным СКТ с контрастированием и ПЭТ/КТ выявлено 5 метастатически измененных регионарных лимфатических узлов (N2). По данным СКТ органов грудной и брюшной полостей, ПЭТ/КТ с 18F-ФДГ данных за наличие очагов отдаленного метастазирования не получено (M0).</w:t>
        <w:br/>
        <w:br/>
        <w:t>По данным биопсии выполненной при ЭГДС установлен морфологический тип опухоли - плоскоклеточный неорговевающий рак.</w:t>
        <w:br/>
        <w:br/>
        <w:t>Данный диагноз установлен на основании клинических данных и гистологического исследования материала, полученного при биопсии.</w:t>
        <w:br/>
        <w:br/>
        <w:t>Ссылка на источник:</w:t>
        <w:br/>
        <w:br/>
        <w:t>Ассоциация онкологов России: Раздел 1.6 Стадирование (с.6).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Пациенту показано +___________________+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таргетное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лучевое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химиотерапевтическое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комбинированное</w:t>
      </w:r>
    </w:p>
    <w:p>
      <w:pPr>
        <w:ind w:left="504"/>
      </w:pPr>
      <w:r>
        <w:rPr>
          <w:b w:val="0"/>
          <w:i/>
        </w:rPr>
        <w:t>При IIВ-III стадиях рака пищевода рекомендовано сочетание хирургического лечения с лекарственной и лучевой терапий.</w:t>
        <w:br/>
        <w:br/>
        <w:t>Ссылка на источник:</w:t>
        <w:br/>
        <w:br/>
        <w:t>Ассоциация онкологов России: Раздел 3. Лечение (с. 14).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первом этапе комбинированного лечения рекомендовано проведение +_______________+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химиотерапевтического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химиолучевого</w:t>
      </w:r>
    </w:p>
    <w:p>
      <w:pPr>
        <w:ind w:left="504"/>
      </w:pPr>
      <w:r>
        <w:rPr>
          <w:b w:val="0"/>
          <w:i/>
        </w:rPr>
        <w:t>При IIВ-III стадиях рака пищевода рекомендовано сочетание хирургического лечения с лекарственной и лучевой терапий. В ряде исследований было показано достоверное улучшение отдалённых результатов. При метаанализе чётко показан достоверный выигрыш от проведения предоперационной химиолучевой терапии.</w:t>
        <w:br/>
        <w:br/>
        <w:t>Ссылка на источник:</w:t>
        <w:br/>
        <w:br/>
        <w:t>Ассоциация онкологов России: Раздел 3.4 Химиолучевая терапия (с. 18).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Предоперационную лучевую терапию проводят в режиме традиционного фракционирования до СОД, составляющего +________+ Гр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66-68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55-60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40-50</w:t>
      </w:r>
    </w:p>
    <w:p>
      <w:pPr>
        <w:ind w:left="504"/>
      </w:pPr>
      <w:r>
        <w:rPr>
          <w:b w:val="0"/>
          <w:i/>
        </w:rPr>
        <w:t>Предоперационную лучевую терапию проводят в режиме традиционного фракционирования до СОД, составляющего 40-50 Гр.</w:t>
        <w:br/>
        <w:br/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340.</w:t>
      </w:r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Первичный GTV должен включать первичную опухоль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окружающие ткани с отступом 3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прочие отделы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пораженные 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 регионарные лимфатические узлы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пораженные лимфатические узлы</w:t>
      </w:r>
    </w:p>
    <w:p>
      <w:pPr>
        <w:ind w:left="504"/>
      </w:pPr>
      <w:r>
        <w:rPr>
          <w:b w:val="0"/>
          <w:i/>
        </w:rPr>
        <w:t>Первичный общий объем облучения ( GTV ) должен включать первичную опухоль и пораженные лимфатические узлы.</w:t>
        <w:br/>
        <w:br/>
        <w:t>Ссылка на источник:</w:t>
        <w:br/>
        <w:br/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340.</w:t>
      </w:r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Отступ в продольном направлении при оконтуривании клинического объема опухоли составляет _____ см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3-4</w:t>
      </w:r>
    </w:p>
    <w:p>
      <w:pPr>
        <w:ind w:left="504"/>
      </w:pPr>
      <w:r>
        <w:rPr>
          <w:b w:val="0"/>
          <w:i/>
        </w:rPr>
        <w:t>Отступ в продольном направлении при оконтуривании клинического объема опухоли, составляет 3-4см</w:t>
        <w:br/>
        <w:br/>
        <w:t>Ссылка на источник:</w:t>
        <w:br/>
        <w:br/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наличии выраженной дисфагии перед началом лучевой терапии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противоотечную и антисекреторную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 системной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эндоскопическую реканализацию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резекцию пораженного отдела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эндоскопическую реканализацию пищевода</w:t>
      </w:r>
    </w:p>
    <w:p>
      <w:pPr>
        <w:ind w:left="504"/>
      </w:pPr>
      <w:r>
        <w:rPr>
          <w:b w:val="0"/>
          <w:i/>
        </w:rPr>
        <w:t>При наличии выраженной дисфагии перед началом облучения производят эндоскопическую реканализацию пищевода, либо выполняют пункционную гастростомию.</w:t>
        <w:br/>
        <w:br/>
        <w:t>Ссылка на источник:</w:t>
        <w:br/>
        <w:br/>
        <w:t>Ассоциация онкологов России: Раздел 3. Лечение (с. 19).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 завершения химиолучевой терапии пациенту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продолжение химиотерапии в условиях диспансера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хирургического этапа комбинированного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таргетной и иммунотерапии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динамическое наблюдение в течение полугода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проведение хирургического этапа комбинированного лечения</w:t>
      </w:r>
    </w:p>
    <w:p>
      <w:pPr>
        <w:ind w:left="504"/>
      </w:pPr>
      <w:r>
        <w:rPr>
          <w:b w:val="0"/>
          <w:i/>
        </w:rPr>
        <w:t>При IIВ-III стадиях рака пищевода рекомендовано сочетание хирургического лечения с лекарственной и лучевой терапий</w:t>
        <w:br/>
        <w:br/>
        <w:t>Ссылка на источник:</w:t>
        <w:br/>
        <w:br/>
        <w:t>Ассоциация онкологов России: Раздел 3. Лечение (с. 14).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Проведение хирургического этапа лечения следует рекомендовать через +________+ недель после завершения химиолучевой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6-8</w:t>
      </w:r>
    </w:p>
    <w:p>
      <w:pPr>
        <w:ind w:left="504"/>
      </w:pPr>
      <w:r>
        <w:rPr>
          <w:b w:val="0"/>
          <w:i/>
        </w:rPr>
        <w:t>Хирургическое вмешательство производится через 6-8 недель после завершения химиолучевой терапии.</w:t>
        <w:br/>
        <w:br/>
        <w:t>Ссылка на источник:</w:t>
        <w:br/>
        <w:br/>
        <w:t>Ассоциация онкологов России: Раздел 3. Лечение (с. 19).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После завершения комбинированного лечения, периодичность контрольных обследований на протяжении первых 2-х лет составляет 1 раз в _____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3-6</w:t>
      </w:r>
    </w:p>
    <w:p>
      <w:pPr>
        <w:ind w:left="504"/>
      </w:pPr>
      <w:r>
        <w:rPr>
          <w:b w:val="0"/>
          <w:i/>
        </w:rPr>
        <w:t>После завершения радикального лечения рака пищевода следует соблюдать периодичность контрольных обследований – каждые 3-6 месяцев в первые 2 года, далее каждые 6-12 месяцев в последующие 3- 5 лет, затем — ежегодно.</w:t>
        <w:br/>
        <w:br/>
        <w:t>Ссылка на источник:</w:t>
        <w:br/>
        <w:br/>
        <w:t>Ассоциация онкологов России: Раздел 5. Профилактика. Стр. 22.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75_3/" TargetMode="External"/><Relationship Id="rId21" Type="http://schemas.openxmlformats.org/officeDocument/2006/relationships/hyperlink" Target="https://library.mededtech.ru/rest/documents/KP475_3/#list_item_n3ijvn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475_3/#list_item_o8g2eq" TargetMode="External"/><Relationship Id="rId24" Type="http://schemas.openxmlformats.org/officeDocument/2006/relationships/hyperlink" Target="https://library.mededtech.ru/rest/documents/KP475_3/#paragraph_punge8" TargetMode="External"/><Relationship Id="rId25" Type="http://schemas.openxmlformats.org/officeDocument/2006/relationships/hyperlink" Target="https://library.mededtech.ru/rest/documents/KP475_3/#list_item_5afd1e" TargetMode="External"/><Relationship Id="rId26" Type="http://schemas.openxmlformats.org/officeDocument/2006/relationships/hyperlink" Target="https://library.mededtech.ru/rest/documents/KP475_3/#list_item_2r10ep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475_3/#tab1" TargetMode="External"/><Relationship Id="rId29" Type="http://schemas.openxmlformats.org/officeDocument/2006/relationships/hyperlink" Target="https://library.mededtech.ru/rest/documents/KP475_3/#list_item_ipas37" TargetMode="External"/><Relationship Id="rId30" Type="http://schemas.openxmlformats.org/officeDocument/2006/relationships/hyperlink" Target="https://library.mededtech.ru/rest/documents/KP475_3/#list_item_6tc5t2" TargetMode="External"/><Relationship Id="rId31" Type="http://schemas.openxmlformats.org/officeDocument/2006/relationships/hyperlink" Target="https://library.mededtech.ru/rest/documents/KP475_3/#t1" TargetMode="External"/><Relationship Id="rId32" Type="http://schemas.openxmlformats.org/officeDocument/2006/relationships/hyperlink" Target="https://library.mededtech.ru/rest/documents/KP475_3/#list_item_602r06" TargetMode="External"/><Relationship Id="rId33" Type="http://schemas.openxmlformats.org/officeDocument/2006/relationships/hyperlink" Target="https://library.mededtech.ru/rest/documents/KP475_3/#list_item_usvfv7" TargetMode="External"/><Relationship Id="rId34" Type="http://schemas.openxmlformats.org/officeDocument/2006/relationships/hyperlink" Target="https://www.labirint.ru/books/688754/" TargetMode="External"/><Relationship Id="rId35" Type="http://schemas.openxmlformats.org/officeDocument/2006/relationships/hyperlink" Target="https://library.mededtech.ru/rest/documents/rak_pischevoda_pr2018_8/" TargetMode="External"/><Relationship Id="rId36" Type="http://schemas.openxmlformats.org/officeDocument/2006/relationships/image" Target="media/image7.png"/><Relationship Id="rId37" Type="http://schemas.openxmlformats.org/officeDocument/2006/relationships/image" Target="media/image8.png"/><Relationship Id="rId38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